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</w:pPr>
      <w:bookmarkStart w:id="1" w:name="_GoBack"/>
      <w:bookmarkEnd w:id="1"/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2024年</w:t>
      </w:r>
      <w:bookmarkStart w:id="0" w:name="_Hlk99659559"/>
      <w:r>
        <w:rPr>
          <w:rFonts w:hint="eastAsia" w:ascii="方正小标宋简体" w:hAnsi="方正小标宋简体" w:eastAsia="方正小标宋简体" w:cs="方正小标宋简体"/>
          <w:b w:val="0"/>
          <w:bCs w:val="0"/>
          <w:sz w:val="28"/>
          <w:szCs w:val="28"/>
          <w:lang w:val="en-US" w:eastAsia="zh-CN"/>
        </w:rPr>
        <w:t>第二批次研究生学位授予工作日程安排</w:t>
      </w:r>
      <w:bookmarkEnd w:id="0"/>
    </w:p>
    <w:tbl>
      <w:tblPr>
        <w:tblStyle w:val="2"/>
        <w:tblW w:w="85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4"/>
        <w:gridCol w:w="1912"/>
        <w:gridCol w:w="1315"/>
        <w:gridCol w:w="4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1144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一级工作</w:t>
            </w:r>
          </w:p>
          <w:p>
            <w:pPr>
              <w:widowControl/>
              <w:spacing w:line="38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项目名称</w:t>
            </w:r>
          </w:p>
        </w:tc>
        <w:tc>
          <w:tcPr>
            <w:tcW w:w="1912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二级工作</w:t>
            </w:r>
          </w:p>
          <w:p>
            <w:pPr>
              <w:widowControl/>
              <w:spacing w:line="38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项目名称</w:t>
            </w:r>
          </w:p>
        </w:tc>
        <w:tc>
          <w:tcPr>
            <w:tcW w:w="1315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时间节点</w:t>
            </w:r>
          </w:p>
        </w:tc>
        <w:tc>
          <w:tcPr>
            <w:tcW w:w="4147" w:type="dxa"/>
            <w:vAlign w:val="center"/>
          </w:tcPr>
          <w:p>
            <w:pPr>
              <w:widowControl/>
              <w:spacing w:line="380" w:lineRule="exact"/>
              <w:jc w:val="center"/>
              <w:rPr>
                <w:rFonts w:hint="eastAsia"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 w:val="21"/>
                <w:szCs w:val="21"/>
              </w:rPr>
              <w:t>工作要求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144" w:type="dxa"/>
            <w:vMerge w:val="restart"/>
            <w:vAlign w:val="center"/>
          </w:tcPr>
          <w:p>
            <w:pPr>
              <w:spacing w:line="380" w:lineRule="exact"/>
              <w:rPr>
                <w:rFonts w:ascii="Times New Roman" w:hAnsi="Times New Roman" w:eastAsia="黑体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1.学位论文相似度检测</w:t>
            </w: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预毕业申请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研究生提出预毕业申请，学院审核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144" w:type="dxa"/>
            <w:vMerge w:val="continue"/>
            <w:vAlign w:val="center"/>
          </w:tcPr>
          <w:p>
            <w:pPr>
              <w:spacing w:line="380" w:lineRule="exact"/>
              <w:ind w:firstLine="500"/>
              <w:rPr>
                <w:rFonts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分配查重权限篇次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6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7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hint="eastAsia" w:ascii="Times New Roman" w:hAnsi="Times New Roman" w:eastAsia="仿宋" w:cs="Times New Roman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研究生院根据学院提供名单分配查重权限篇次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每位研究生两次检测机会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1144" w:type="dxa"/>
            <w:vMerge w:val="continue"/>
            <w:vAlign w:val="center"/>
          </w:tcPr>
          <w:p>
            <w:pPr>
              <w:spacing w:line="380" w:lineRule="exact"/>
              <w:ind w:firstLine="500"/>
              <w:rPr>
                <w:rFonts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论文检测、研究生院公布相似度检测结果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6月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12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学院完成相似度检测工作，并将检测结果录入研究生管理信息系统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1144" w:type="dxa"/>
            <w:vMerge w:val="restart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2.学位论文</w:t>
            </w:r>
            <w:r>
              <w:rPr>
                <w:rFonts w:hint="eastAsia" w:ascii="Times New Roman" w:hAnsi="Times New Roman" w:eastAsia="黑体" w:cs="Times New Roman"/>
                <w:sz w:val="21"/>
                <w:szCs w:val="21"/>
                <w:lang w:val="en-US" w:eastAsia="zh-CN"/>
              </w:rPr>
              <w:t>盲审</w:t>
            </w: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评议</w:t>
            </w: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学院提交论文送审名单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6月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17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通过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学位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论文相似度检测并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</w:rPr>
              <w:t>经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导师同意方可送审（名单须从系统导出并盖章）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144" w:type="dxa"/>
            <w:vMerge w:val="continue"/>
            <w:vAlign w:val="center"/>
          </w:tcPr>
          <w:p>
            <w:pPr>
              <w:spacing w:line="380" w:lineRule="exact"/>
              <w:ind w:firstLine="500"/>
              <w:rPr>
                <w:rFonts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学院提交送审论文（PDF版）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6月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19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送审论文必须符合盲审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评议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规范，隐去相关信息，并按规定格式命名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9" w:hRule="atLeast"/>
          <w:jc w:val="center"/>
        </w:trPr>
        <w:tc>
          <w:tcPr>
            <w:tcW w:w="1144" w:type="dxa"/>
            <w:vMerge w:val="continue"/>
            <w:vAlign w:val="center"/>
          </w:tcPr>
          <w:p>
            <w:pPr>
              <w:spacing w:line="380" w:lineRule="exact"/>
              <w:ind w:firstLine="500"/>
              <w:rPr>
                <w:rFonts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学位论文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送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审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6月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24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研究生院负责送审硕士学位论文1份，其余2份由学院负责；博士学位论文5份均由研究生院负责送审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144" w:type="dxa"/>
            <w:vMerge w:val="continue"/>
            <w:vAlign w:val="center"/>
          </w:tcPr>
          <w:p>
            <w:pPr>
              <w:spacing w:line="380" w:lineRule="exact"/>
              <w:ind w:firstLine="500"/>
              <w:rPr>
                <w:rFonts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盲审结果反馈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7月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5日前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研究生院向学院反馈校级盲审结果。学院把所有盲审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结果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录入研究生信息管理系统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1144" w:type="dxa"/>
            <w:vMerge w:val="restart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3.学位论文答辩</w:t>
            </w: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答辩申请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7月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6日前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研究生在信息管理系统提交答辩申请，学院审核预毕业生的答辩资格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  <w:jc w:val="center"/>
        </w:trPr>
        <w:tc>
          <w:tcPr>
            <w:tcW w:w="1144" w:type="dxa"/>
            <w:vMerge w:val="continue"/>
            <w:vAlign w:val="center"/>
          </w:tcPr>
          <w:p>
            <w:pPr>
              <w:spacing w:line="380" w:lineRule="exact"/>
              <w:ind w:firstLine="500"/>
              <w:rPr>
                <w:rFonts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论文答辩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7月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4日前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各学院组织答辩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1144" w:type="dxa"/>
            <w:vMerge w:val="restart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sz w:val="21"/>
                <w:szCs w:val="21"/>
              </w:rPr>
              <w:t>4.学位授予</w:t>
            </w: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报送学位申请材料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7月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29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学院根据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规定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审核及整理学位申请材料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144" w:type="dxa"/>
            <w:vMerge w:val="continue"/>
            <w:vAlign w:val="center"/>
          </w:tcPr>
          <w:p>
            <w:pPr>
              <w:spacing w:line="380" w:lineRule="exact"/>
              <w:ind w:firstLine="500"/>
              <w:rPr>
                <w:rFonts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复审学位申请材料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8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7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研究生院完成研究生学位申请材料复审工作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144" w:type="dxa"/>
            <w:vMerge w:val="continue"/>
            <w:vAlign w:val="center"/>
          </w:tcPr>
          <w:p>
            <w:pPr>
              <w:spacing w:line="380" w:lineRule="exact"/>
              <w:ind w:firstLine="500"/>
              <w:rPr>
                <w:rFonts w:ascii="Times New Roman" w:hAnsi="Times New Roman" w:eastAsia="仿宋" w:cs="Times New Roman"/>
                <w:sz w:val="21"/>
                <w:szCs w:val="21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审定学位授予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</w:rPr>
              <w:t>名单</w:t>
            </w:r>
          </w:p>
        </w:tc>
        <w:tc>
          <w:tcPr>
            <w:tcW w:w="1315" w:type="dxa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8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月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  <w:lang w:val="en-US" w:eastAsia="zh-CN"/>
              </w:rPr>
              <w:t>14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日前</w:t>
            </w:r>
          </w:p>
        </w:tc>
        <w:tc>
          <w:tcPr>
            <w:tcW w:w="4147" w:type="dxa"/>
            <w:vAlign w:val="center"/>
          </w:tcPr>
          <w:p>
            <w:pPr>
              <w:spacing w:line="380" w:lineRule="exact"/>
              <w:rPr>
                <w:rFonts w:ascii="Times New Roman" w:hAnsi="Times New Roman" w:eastAsia="仿宋" w:cs="Times New Roman"/>
                <w:sz w:val="21"/>
                <w:szCs w:val="21"/>
              </w:rPr>
            </w:pP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召开校学位评定委员会会议，审定学位</w:t>
            </w:r>
            <w:r>
              <w:rPr>
                <w:rFonts w:hint="eastAsia" w:ascii="Times New Roman" w:hAnsi="Times New Roman" w:eastAsia="仿宋" w:cs="Times New Roman"/>
                <w:sz w:val="21"/>
                <w:szCs w:val="21"/>
              </w:rPr>
              <w:t>授予</w:t>
            </w:r>
            <w:r>
              <w:rPr>
                <w:rFonts w:ascii="Times New Roman" w:hAnsi="Times New Roman" w:eastAsia="仿宋" w:cs="Times New Roman"/>
                <w:sz w:val="21"/>
                <w:szCs w:val="21"/>
              </w:rPr>
              <w:t>名单，制作发放证书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OGZlMmUxNmQ0ZmU5ZDBmYmUwODVlZjZiNjU5MTIifQ=="/>
  </w:docVars>
  <w:rsids>
    <w:rsidRoot w:val="35106327"/>
    <w:rsid w:val="23ED4E62"/>
    <w:rsid w:val="35106327"/>
    <w:rsid w:val="7D8B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2023-04-13T08:21:00Z</dcterms:created>
  <dc:creator>芬儿</dc:creator>
  <cp:lastModifiedBy>芬儿</cp:lastModifiedBy>
  <cp:lastPrinted>2024-04-25T02:26:00Z</cp:lastPrinted>
  <dcterms:modified xsi:type="dcterms:W3CDTF">2024-04-29T01:23:34Z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CEAFA9930E6840AFB6985A66BC718BB6_13</vt:lpwstr>
  </property>
</Properties>
</file>